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98" w:rsidRPr="00467163" w:rsidRDefault="00914C42" w:rsidP="00AB0CE4">
      <w:pPr>
        <w:spacing w:after="120"/>
        <w:rPr>
          <w:b/>
          <w:sz w:val="18"/>
          <w:szCs w:val="18"/>
          <w:lang w:val="it-IT"/>
        </w:rPr>
      </w:pPr>
      <w:bookmarkStart w:id="0" w:name="_GoBack"/>
      <w:bookmarkEnd w:id="0"/>
      <w:r w:rsidRPr="00297893">
        <w:rPr>
          <w:b/>
          <w:smallCaps/>
          <w:sz w:val="18"/>
          <w:szCs w:val="18"/>
          <w:lang w:val="it-IT"/>
        </w:rPr>
        <w:t>Cedant</w:t>
      </w:r>
      <w:r w:rsidRPr="00467163">
        <w:rPr>
          <w:b/>
          <w:sz w:val="18"/>
          <w:szCs w:val="18"/>
          <w:lang w:val="it-IT"/>
        </w:rPr>
        <w:t xml:space="preserve"> 2018</w:t>
      </w:r>
      <w:r w:rsidR="00467163" w:rsidRPr="00467163">
        <w:rPr>
          <w:b/>
          <w:sz w:val="18"/>
          <w:szCs w:val="18"/>
          <w:lang w:val="it-IT"/>
        </w:rPr>
        <w:t xml:space="preserve"> ‒</w:t>
      </w:r>
      <w:r w:rsidRPr="00467163">
        <w:rPr>
          <w:b/>
          <w:sz w:val="18"/>
          <w:szCs w:val="18"/>
          <w:lang w:val="it-IT"/>
        </w:rPr>
        <w:t xml:space="preserve"> F. </w:t>
      </w:r>
      <w:r w:rsidR="006E7898" w:rsidRPr="00467163">
        <w:rPr>
          <w:b/>
          <w:sz w:val="18"/>
          <w:szCs w:val="18"/>
          <w:lang w:val="it-IT"/>
        </w:rPr>
        <w:t>Battaglia</w:t>
      </w:r>
      <w:r w:rsidR="00467163" w:rsidRPr="00467163">
        <w:rPr>
          <w:b/>
          <w:sz w:val="18"/>
          <w:szCs w:val="18"/>
          <w:lang w:val="it-IT"/>
        </w:rPr>
        <w:t>,</w:t>
      </w:r>
      <w:r w:rsidR="00AB0CE4" w:rsidRPr="00467163">
        <w:rPr>
          <w:b/>
          <w:sz w:val="18"/>
          <w:szCs w:val="18"/>
          <w:lang w:val="it-IT"/>
        </w:rPr>
        <w:t xml:space="preserve"> </w:t>
      </w:r>
      <w:r w:rsidR="00AB0CE4" w:rsidRPr="00467163">
        <w:rPr>
          <w:b/>
          <w:i/>
          <w:sz w:val="18"/>
          <w:szCs w:val="18"/>
          <w:lang w:val="it-IT"/>
        </w:rPr>
        <w:t>Lettori antichi: l’interpretatio cd. visigota</w:t>
      </w:r>
    </w:p>
    <w:p w:rsidR="00253369" w:rsidRPr="00B80B7A" w:rsidRDefault="00253369" w:rsidP="00AB0CE4">
      <w:pPr>
        <w:spacing w:after="120"/>
        <w:rPr>
          <w:b/>
          <w:sz w:val="16"/>
          <w:szCs w:val="16"/>
          <w:lang w:val="it-IT"/>
        </w:rPr>
      </w:pPr>
    </w:p>
    <w:p w:rsidR="00306871" w:rsidRPr="002F68C9" w:rsidRDefault="00B92C04" w:rsidP="00AB0CE4">
      <w:pPr>
        <w:spacing w:after="120"/>
        <w:rPr>
          <w:b/>
          <w:sz w:val="16"/>
          <w:szCs w:val="16"/>
          <w:lang w:val="it-IT"/>
        </w:rPr>
      </w:pPr>
      <w:r w:rsidRPr="002F68C9">
        <w:rPr>
          <w:b/>
          <w:sz w:val="16"/>
          <w:szCs w:val="16"/>
          <w:lang w:val="it-IT"/>
        </w:rPr>
        <w:t xml:space="preserve">Letture preparatorie </w:t>
      </w:r>
    </w:p>
    <w:p w:rsidR="00583D99" w:rsidRDefault="00583D99" w:rsidP="00583D99">
      <w:pPr>
        <w:spacing w:after="120"/>
        <w:rPr>
          <w:sz w:val="16"/>
          <w:szCs w:val="16"/>
          <w:lang w:val="de-DE"/>
        </w:rPr>
      </w:pPr>
      <w:r w:rsidRPr="00B80B7A">
        <w:rPr>
          <w:smallCaps/>
          <w:sz w:val="16"/>
          <w:szCs w:val="16"/>
          <w:lang w:val="de-DE"/>
        </w:rPr>
        <w:t>Savigny</w:t>
      </w:r>
      <w:r w:rsidRPr="00B80B7A">
        <w:rPr>
          <w:sz w:val="16"/>
          <w:szCs w:val="16"/>
          <w:lang w:val="de-DE"/>
        </w:rPr>
        <w:t>,</w:t>
      </w:r>
      <w:r w:rsidRPr="00B80B7A">
        <w:rPr>
          <w:smallCaps/>
          <w:sz w:val="16"/>
          <w:szCs w:val="16"/>
          <w:lang w:val="de-DE"/>
        </w:rPr>
        <w:t xml:space="preserve"> F. C. v.</w:t>
      </w:r>
      <w:r w:rsidRPr="00B80B7A">
        <w:rPr>
          <w:sz w:val="16"/>
          <w:szCs w:val="16"/>
          <w:lang w:val="de-DE"/>
        </w:rPr>
        <w:t xml:space="preserve">, </w:t>
      </w:r>
      <w:r w:rsidRPr="00B80B7A">
        <w:rPr>
          <w:i/>
          <w:sz w:val="16"/>
          <w:szCs w:val="16"/>
          <w:lang w:val="de-DE"/>
        </w:rPr>
        <w:t>Geschichte des Römischen Rechts im Mittelalter</w:t>
      </w:r>
      <w:r w:rsidRPr="00B80B7A">
        <w:rPr>
          <w:sz w:val="16"/>
          <w:szCs w:val="16"/>
          <w:lang w:val="de-DE"/>
        </w:rPr>
        <w:t>, II, Heidelberg</w:t>
      </w:r>
      <w:r>
        <w:rPr>
          <w:sz w:val="16"/>
          <w:szCs w:val="16"/>
          <w:lang w:val="de-DE"/>
        </w:rPr>
        <w:t xml:space="preserve"> </w:t>
      </w:r>
      <w:r w:rsidRPr="00B80B7A">
        <w:rPr>
          <w:sz w:val="16"/>
          <w:szCs w:val="16"/>
          <w:lang w:val="de-DE"/>
        </w:rPr>
        <w:t>1834</w:t>
      </w:r>
      <w:r w:rsidRPr="00B80B7A">
        <w:rPr>
          <w:sz w:val="16"/>
          <w:szCs w:val="16"/>
          <w:vertAlign w:val="superscript"/>
          <w:lang w:val="de-DE"/>
        </w:rPr>
        <w:t>2</w:t>
      </w:r>
      <w:r>
        <w:rPr>
          <w:sz w:val="16"/>
          <w:szCs w:val="16"/>
          <w:lang w:val="de-DE"/>
        </w:rPr>
        <w:t>, 54-56</w:t>
      </w:r>
    </w:p>
    <w:p w:rsidR="0033193D" w:rsidRDefault="00A133A9" w:rsidP="00583D99">
      <w:pPr>
        <w:spacing w:after="120"/>
        <w:rPr>
          <w:sz w:val="16"/>
          <w:szCs w:val="16"/>
          <w:lang w:val="de-DE"/>
        </w:rPr>
      </w:pPr>
      <w:hyperlink r:id="rId4" w:anchor="v=onepage&amp;q&amp;f=false" w:history="1">
        <w:r w:rsidR="0033193D" w:rsidRPr="0001532B">
          <w:rPr>
            <w:rStyle w:val="Collegamentoipertestuale"/>
            <w:sz w:val="16"/>
            <w:szCs w:val="16"/>
            <w:lang w:val="de-DE"/>
          </w:rPr>
          <w:t>https://books.google.it/books?id=xG8ohm4qPbIC&amp;printsec=frontcover&amp;hl=it#v=onepage&amp;q&amp;f=false</w:t>
        </w:r>
      </w:hyperlink>
      <w:r w:rsidR="0033193D" w:rsidRPr="0033193D">
        <w:rPr>
          <w:sz w:val="16"/>
          <w:szCs w:val="16"/>
          <w:lang w:val="de-DE"/>
        </w:rPr>
        <w:t xml:space="preserve"> </w:t>
      </w:r>
    </w:p>
    <w:p w:rsidR="00583D99" w:rsidRDefault="00583D99" w:rsidP="00583D99">
      <w:pPr>
        <w:spacing w:after="120"/>
        <w:rPr>
          <w:sz w:val="16"/>
          <w:szCs w:val="16"/>
          <w:lang w:val="de-DE"/>
        </w:rPr>
      </w:pPr>
      <w:r w:rsidRPr="00B80B7A">
        <w:rPr>
          <w:smallCaps/>
          <w:sz w:val="16"/>
          <w:szCs w:val="16"/>
          <w:lang w:val="de-DE"/>
        </w:rPr>
        <w:t xml:space="preserve">Haenel, G., </w:t>
      </w:r>
      <w:r>
        <w:rPr>
          <w:i/>
          <w:sz w:val="16"/>
          <w:szCs w:val="16"/>
          <w:lang w:val="de-DE"/>
        </w:rPr>
        <w:t>Lex romana Visi</w:t>
      </w:r>
      <w:r w:rsidRPr="00B80B7A">
        <w:rPr>
          <w:i/>
          <w:sz w:val="16"/>
          <w:szCs w:val="16"/>
          <w:lang w:val="de-DE"/>
        </w:rPr>
        <w:t>gothorum ad LXXVI librorum manu scriptorum fidem recognovit, semptem eius antiquis epitomis, quae praeter duas adhuc ineditae sunt, titulorum explanatione auxit, annotatione, appendicibus, prolegomenis, instruxit Gustavus Haenel, editio post Sichardum prima</w:t>
      </w:r>
      <w:r w:rsidRPr="00B80B7A">
        <w:rPr>
          <w:sz w:val="16"/>
          <w:szCs w:val="16"/>
          <w:lang w:val="de-DE"/>
        </w:rPr>
        <w:t xml:space="preserve">, Berolini, apud Guilelmum Besserum, 1849, </w:t>
      </w:r>
      <w:r w:rsidR="00055754" w:rsidRPr="00055754">
        <w:rPr>
          <w:i/>
          <w:sz w:val="16"/>
          <w:szCs w:val="16"/>
          <w:lang w:val="de-DE"/>
        </w:rPr>
        <w:t>Praefatio</w:t>
      </w:r>
      <w:r w:rsidR="00055754">
        <w:rPr>
          <w:sz w:val="16"/>
          <w:szCs w:val="16"/>
          <w:lang w:val="de-DE"/>
        </w:rPr>
        <w:t xml:space="preserve">, spec. </w:t>
      </w:r>
      <w:r>
        <w:rPr>
          <w:sz w:val="16"/>
          <w:szCs w:val="16"/>
          <w:lang w:val="de-DE"/>
        </w:rPr>
        <w:t>X-XIII</w:t>
      </w:r>
    </w:p>
    <w:p w:rsidR="00583D99" w:rsidRPr="00B77E84" w:rsidRDefault="00A133A9" w:rsidP="00583D99">
      <w:pPr>
        <w:spacing w:after="120"/>
        <w:rPr>
          <w:sz w:val="16"/>
          <w:szCs w:val="16"/>
          <w:lang w:val="de-DE"/>
        </w:rPr>
      </w:pPr>
      <w:hyperlink r:id="rId5" w:anchor="v=onepage&amp;q&amp;f=false" w:history="1">
        <w:r w:rsidR="00583D99" w:rsidRPr="00B77E84">
          <w:rPr>
            <w:rStyle w:val="Collegamentoipertestuale"/>
            <w:sz w:val="16"/>
            <w:szCs w:val="16"/>
            <w:lang w:val="de-DE"/>
          </w:rPr>
          <w:t>https://books.google.it/books?id=4V1EAAAAcAAJ&amp;printsec=frontcover&amp;dq=lex+romana+visigothorum+haenel&amp;hl=it&amp;sa=X&amp;ved=0ahUKEwju0unWnsTYAhUBCsAKHRQJC1gQ6AEIKjAA#v=onepage&amp;q&amp;f=false</w:t>
        </w:r>
      </w:hyperlink>
    </w:p>
    <w:p w:rsidR="003D2ECD" w:rsidRDefault="00F556A2" w:rsidP="003D2ECD">
      <w:pPr>
        <w:spacing w:after="120"/>
        <w:rPr>
          <w:sz w:val="16"/>
          <w:szCs w:val="16"/>
          <w:lang w:val="de-DE"/>
        </w:rPr>
      </w:pPr>
      <w:r w:rsidRPr="00583D99">
        <w:rPr>
          <w:smallCaps/>
          <w:sz w:val="16"/>
          <w:szCs w:val="16"/>
          <w:lang w:val="de-DE"/>
        </w:rPr>
        <w:t>Fitting</w:t>
      </w:r>
      <w:r w:rsidRPr="00583D99">
        <w:rPr>
          <w:sz w:val="16"/>
          <w:szCs w:val="16"/>
          <w:lang w:val="de-DE"/>
        </w:rPr>
        <w:t xml:space="preserve">, H., </w:t>
      </w:r>
      <w:r w:rsidRPr="00583D99">
        <w:rPr>
          <w:i/>
          <w:sz w:val="16"/>
          <w:szCs w:val="16"/>
          <w:lang w:val="de-DE"/>
        </w:rPr>
        <w:t xml:space="preserve">Über einige Rechtsquellen der vorjustinianischen spätern Kaiserzeit. </w:t>
      </w:r>
      <w:r w:rsidRPr="00467163">
        <w:rPr>
          <w:i/>
          <w:sz w:val="16"/>
          <w:szCs w:val="16"/>
          <w:lang w:val="it-IT"/>
        </w:rPr>
        <w:t>I</w:t>
      </w:r>
      <w:r w:rsidRPr="00B80B7A">
        <w:rPr>
          <w:i/>
          <w:sz w:val="16"/>
          <w:szCs w:val="16"/>
          <w:lang w:val="de-DE"/>
        </w:rPr>
        <w:t>I. Die sogenannte westgotische ‚Interpretatio‘</w:t>
      </w:r>
      <w:r w:rsidRPr="00B80B7A">
        <w:rPr>
          <w:sz w:val="16"/>
          <w:szCs w:val="16"/>
          <w:lang w:val="de-DE"/>
        </w:rPr>
        <w:t>, in «ZRG» 11 (1873), 222-249</w:t>
      </w:r>
    </w:p>
    <w:p w:rsidR="00B77E84" w:rsidRPr="00B77E84" w:rsidRDefault="00A133A9" w:rsidP="00C477E8">
      <w:pPr>
        <w:spacing w:after="120"/>
        <w:rPr>
          <w:sz w:val="16"/>
          <w:szCs w:val="16"/>
          <w:lang w:val="de-DE"/>
        </w:rPr>
      </w:pPr>
      <w:hyperlink r:id="rId6" w:history="1">
        <w:r w:rsidR="00B77E84" w:rsidRPr="00B77E84">
          <w:rPr>
            <w:rStyle w:val="Collegamentoipertestuale"/>
            <w:sz w:val="16"/>
            <w:szCs w:val="16"/>
            <w:lang w:val="de-DE"/>
          </w:rPr>
          <w:t>https://opacplus.bsb-muenchen.de/Vta2/bsb11042996/bsb:3150497?page=9</w:t>
        </w:r>
      </w:hyperlink>
    </w:p>
    <w:p w:rsidR="00F556A2" w:rsidRDefault="00F556A2" w:rsidP="00AB0CE4">
      <w:pPr>
        <w:spacing w:after="120"/>
        <w:rPr>
          <w:sz w:val="16"/>
          <w:szCs w:val="16"/>
          <w:lang w:val="de-DE"/>
        </w:rPr>
      </w:pPr>
      <w:r w:rsidRPr="00B80B7A">
        <w:rPr>
          <w:smallCaps/>
          <w:sz w:val="16"/>
          <w:szCs w:val="16"/>
          <w:lang w:val="de-DE"/>
        </w:rPr>
        <w:t>Wieacker</w:t>
      </w:r>
      <w:r w:rsidRPr="00B80B7A">
        <w:rPr>
          <w:sz w:val="16"/>
          <w:szCs w:val="16"/>
          <w:lang w:val="de-DE"/>
        </w:rPr>
        <w:t xml:space="preserve">, F., </w:t>
      </w:r>
      <w:r w:rsidRPr="00B80B7A">
        <w:rPr>
          <w:i/>
          <w:sz w:val="16"/>
          <w:szCs w:val="16"/>
          <w:lang w:val="de-DE"/>
        </w:rPr>
        <w:t>Lateinische Kommentare zum Codex Theodosianus. Untersuchungen zum Aufbau und Überlieferungswert der Interpretationen zum Codex Theodosianus</w:t>
      </w:r>
      <w:r w:rsidRPr="00B80B7A">
        <w:rPr>
          <w:sz w:val="16"/>
          <w:szCs w:val="16"/>
          <w:lang w:val="de-DE"/>
        </w:rPr>
        <w:t xml:space="preserve">, in </w:t>
      </w:r>
      <w:r w:rsidRPr="00B80B7A">
        <w:rPr>
          <w:i/>
          <w:sz w:val="16"/>
          <w:szCs w:val="16"/>
          <w:lang w:val="de-DE"/>
        </w:rPr>
        <w:t>Symbolae Friburgenses in honorem Ottonis Lenel</w:t>
      </w:r>
      <w:r w:rsidRPr="00B80B7A">
        <w:rPr>
          <w:sz w:val="16"/>
          <w:szCs w:val="16"/>
          <w:lang w:val="de-DE"/>
        </w:rPr>
        <w:t xml:space="preserve">, Leipzig 1935, 259-356 </w:t>
      </w:r>
    </w:p>
    <w:p w:rsidR="00171FC5" w:rsidRPr="00865C8F" w:rsidRDefault="00171FC5" w:rsidP="00171FC5">
      <w:pPr>
        <w:spacing w:after="120"/>
        <w:rPr>
          <w:sz w:val="16"/>
          <w:szCs w:val="16"/>
          <w:lang w:val="it-IT"/>
        </w:rPr>
      </w:pPr>
      <w:r w:rsidRPr="00B80B7A">
        <w:rPr>
          <w:smallCaps/>
          <w:sz w:val="16"/>
          <w:szCs w:val="16"/>
          <w:lang w:val="de-DE"/>
        </w:rPr>
        <w:t>Liebs</w:t>
      </w:r>
      <w:r w:rsidRPr="00B80B7A">
        <w:rPr>
          <w:sz w:val="16"/>
          <w:szCs w:val="16"/>
          <w:lang w:val="de-DE"/>
        </w:rPr>
        <w:t xml:space="preserve">, D., </w:t>
      </w:r>
      <w:r w:rsidRPr="00B80B7A">
        <w:rPr>
          <w:i/>
          <w:sz w:val="16"/>
          <w:szCs w:val="16"/>
          <w:lang w:val="de-DE"/>
        </w:rPr>
        <w:t xml:space="preserve">Römische Jurisprudenz in Gallien (2. bis 8. </w:t>
      </w:r>
      <w:r w:rsidRPr="00865C8F">
        <w:rPr>
          <w:i/>
          <w:sz w:val="16"/>
          <w:szCs w:val="16"/>
          <w:lang w:val="it-IT"/>
        </w:rPr>
        <w:t>Jahrhundert)</w:t>
      </w:r>
      <w:r w:rsidRPr="00865C8F">
        <w:rPr>
          <w:sz w:val="16"/>
          <w:szCs w:val="16"/>
          <w:lang w:val="it-IT"/>
        </w:rPr>
        <w:t xml:space="preserve">, Berlin 2002, </w:t>
      </w:r>
      <w:r w:rsidR="004B57FA">
        <w:rPr>
          <w:sz w:val="16"/>
          <w:szCs w:val="16"/>
          <w:lang w:val="it-IT"/>
        </w:rPr>
        <w:t>148</w:t>
      </w:r>
      <w:r w:rsidRPr="00865C8F">
        <w:rPr>
          <w:sz w:val="16"/>
          <w:szCs w:val="16"/>
          <w:lang w:val="it-IT"/>
        </w:rPr>
        <w:t>-156</w:t>
      </w:r>
    </w:p>
    <w:p w:rsidR="00B80B7A" w:rsidRPr="00865C8F" w:rsidRDefault="00B80B7A" w:rsidP="00AB0CE4">
      <w:pPr>
        <w:spacing w:after="120"/>
        <w:rPr>
          <w:b/>
          <w:sz w:val="16"/>
          <w:szCs w:val="16"/>
          <w:lang w:val="it-IT"/>
        </w:rPr>
      </w:pPr>
    </w:p>
    <w:p w:rsidR="00005176" w:rsidRPr="006457B5" w:rsidRDefault="001D16FE" w:rsidP="006355DE">
      <w:pPr>
        <w:spacing w:after="120"/>
        <w:rPr>
          <w:b/>
          <w:sz w:val="16"/>
          <w:szCs w:val="16"/>
          <w:lang w:val="it-IT"/>
        </w:rPr>
      </w:pPr>
      <w:r>
        <w:rPr>
          <w:b/>
          <w:sz w:val="16"/>
          <w:szCs w:val="16"/>
          <w:lang w:val="it-IT"/>
        </w:rPr>
        <w:t>Bibliografia ulteriore</w:t>
      </w:r>
    </w:p>
    <w:p w:rsidR="00D220C7" w:rsidRPr="00B80B7A" w:rsidRDefault="00D220C7" w:rsidP="00AB0CE4">
      <w:pPr>
        <w:spacing w:after="120"/>
        <w:rPr>
          <w:sz w:val="16"/>
          <w:szCs w:val="16"/>
          <w:lang w:val="it-IT"/>
        </w:rPr>
      </w:pPr>
      <w:r w:rsidRPr="00B80B7A">
        <w:rPr>
          <w:smallCaps/>
          <w:sz w:val="16"/>
          <w:szCs w:val="16"/>
          <w:lang w:val="it-IT"/>
        </w:rPr>
        <w:t>Bueno</w:t>
      </w:r>
      <w:r w:rsidRPr="00B80B7A">
        <w:rPr>
          <w:sz w:val="16"/>
          <w:szCs w:val="16"/>
          <w:lang w:val="it-IT"/>
        </w:rPr>
        <w:t xml:space="preserve">, M., </w:t>
      </w:r>
      <w:r w:rsidRPr="00B80B7A">
        <w:rPr>
          <w:i/>
          <w:sz w:val="16"/>
          <w:szCs w:val="16"/>
          <w:lang w:val="it-IT"/>
        </w:rPr>
        <w:t>El breviario de Alarico: ¿fuente del derecho romano tardío o fuente del derecho visigodo?</w:t>
      </w:r>
      <w:r w:rsidR="00586061">
        <w:rPr>
          <w:sz w:val="16"/>
          <w:szCs w:val="16"/>
          <w:lang w:val="it-IT"/>
        </w:rPr>
        <w:t xml:space="preserve">, in </w:t>
      </w:r>
      <w:r w:rsidRPr="00B80B7A">
        <w:rPr>
          <w:i/>
          <w:sz w:val="16"/>
          <w:szCs w:val="16"/>
          <w:lang w:val="it-IT"/>
        </w:rPr>
        <w:t>Atti dell’Accademia romanistica costantiniana: 14. Convegno internazionale in memoria di Guglielmo Nocera</w:t>
      </w:r>
      <w:r w:rsidRPr="00B80B7A">
        <w:rPr>
          <w:sz w:val="16"/>
          <w:szCs w:val="16"/>
          <w:lang w:val="it-IT"/>
        </w:rPr>
        <w:t>, Napoli 2003, 629-638</w:t>
      </w:r>
    </w:p>
    <w:p w:rsidR="00D220C7" w:rsidRPr="00B80B7A" w:rsidRDefault="00D220C7" w:rsidP="00AB0CE4">
      <w:pPr>
        <w:spacing w:after="120"/>
        <w:rPr>
          <w:sz w:val="16"/>
          <w:szCs w:val="16"/>
          <w:lang w:val="it-IT"/>
        </w:rPr>
      </w:pPr>
      <w:r w:rsidRPr="00B80B7A">
        <w:rPr>
          <w:smallCaps/>
          <w:sz w:val="16"/>
          <w:szCs w:val="16"/>
          <w:lang w:val="it-IT"/>
        </w:rPr>
        <w:t>Cannata</w:t>
      </w:r>
      <w:r w:rsidRPr="00B80B7A">
        <w:rPr>
          <w:sz w:val="16"/>
          <w:szCs w:val="16"/>
          <w:lang w:val="it-IT"/>
        </w:rPr>
        <w:t xml:space="preserve">, C. A., </w:t>
      </w:r>
      <w:r w:rsidRPr="00B80B7A">
        <w:rPr>
          <w:i/>
          <w:sz w:val="16"/>
          <w:szCs w:val="16"/>
          <w:lang w:val="it-IT"/>
        </w:rPr>
        <w:t>I rinvii al ius nella Interpretatio al Codice Teodosiano</w:t>
      </w:r>
      <w:r w:rsidRPr="00B80B7A">
        <w:rPr>
          <w:sz w:val="16"/>
          <w:szCs w:val="16"/>
          <w:lang w:val="it-IT"/>
        </w:rPr>
        <w:t>, in «SDHI» 28 (1962), 292-315</w:t>
      </w:r>
    </w:p>
    <w:p w:rsidR="00D220C7" w:rsidRPr="00B80B7A" w:rsidRDefault="00D220C7" w:rsidP="00AB0CE4">
      <w:pPr>
        <w:spacing w:after="120"/>
        <w:rPr>
          <w:sz w:val="16"/>
          <w:szCs w:val="16"/>
          <w:lang w:val="it-IT"/>
        </w:rPr>
      </w:pPr>
      <w:r w:rsidRPr="00B80B7A">
        <w:rPr>
          <w:smallCaps/>
          <w:sz w:val="16"/>
          <w:szCs w:val="16"/>
          <w:lang w:val="it-IT"/>
        </w:rPr>
        <w:t>Carini, M</w:t>
      </w:r>
      <w:r w:rsidRPr="00B80B7A">
        <w:rPr>
          <w:sz w:val="16"/>
          <w:szCs w:val="16"/>
          <w:lang w:val="it-IT"/>
        </w:rPr>
        <w:t xml:space="preserve">., </w:t>
      </w:r>
      <w:r w:rsidRPr="00B80B7A">
        <w:rPr>
          <w:i/>
          <w:sz w:val="16"/>
          <w:szCs w:val="16"/>
          <w:lang w:val="it-IT"/>
        </w:rPr>
        <w:t>Aspetti della ‘Lex Romana Visigothorum’</w:t>
      </w:r>
      <w:r w:rsidRPr="00B80B7A">
        <w:rPr>
          <w:sz w:val="16"/>
          <w:szCs w:val="16"/>
          <w:lang w:val="it-IT"/>
        </w:rPr>
        <w:t xml:space="preserve">, in «BIDR» 101-102 (1998-1999, pubbl. 2005), 577-629 </w:t>
      </w:r>
    </w:p>
    <w:p w:rsidR="00D220C7" w:rsidRPr="00B80B7A" w:rsidRDefault="00D220C7" w:rsidP="00AB0CE4">
      <w:pPr>
        <w:spacing w:after="120"/>
        <w:rPr>
          <w:sz w:val="16"/>
          <w:szCs w:val="16"/>
          <w:lang w:val="it-IT"/>
        </w:rPr>
      </w:pPr>
      <w:r w:rsidRPr="00B80B7A">
        <w:rPr>
          <w:smallCaps/>
          <w:sz w:val="16"/>
          <w:szCs w:val="16"/>
          <w:lang w:val="it-IT"/>
        </w:rPr>
        <w:t>Di Cintio</w:t>
      </w:r>
      <w:r w:rsidRPr="00B80B7A">
        <w:rPr>
          <w:sz w:val="16"/>
          <w:szCs w:val="16"/>
          <w:lang w:val="it-IT"/>
        </w:rPr>
        <w:t xml:space="preserve">, </w:t>
      </w:r>
      <w:r w:rsidR="00BC7F1B">
        <w:rPr>
          <w:sz w:val="16"/>
          <w:szCs w:val="16"/>
          <w:lang w:val="it-IT"/>
        </w:rPr>
        <w:t xml:space="preserve">L., </w:t>
      </w:r>
      <w:r w:rsidRPr="00B80B7A">
        <w:rPr>
          <w:i/>
          <w:sz w:val="16"/>
          <w:szCs w:val="16"/>
          <w:lang w:val="it-IT"/>
        </w:rPr>
        <w:t>L’interpretatio Visigothorum al Codex Theodosianus</w:t>
      </w:r>
      <w:r w:rsidRPr="00B80B7A">
        <w:rPr>
          <w:sz w:val="16"/>
          <w:szCs w:val="16"/>
          <w:lang w:val="it-IT"/>
        </w:rPr>
        <w:t xml:space="preserve">. </w:t>
      </w:r>
      <w:r w:rsidRPr="00B80B7A">
        <w:rPr>
          <w:i/>
          <w:sz w:val="16"/>
          <w:szCs w:val="16"/>
          <w:lang w:val="it-IT"/>
        </w:rPr>
        <w:t>Il libro IX</w:t>
      </w:r>
      <w:r w:rsidRPr="00B80B7A">
        <w:rPr>
          <w:sz w:val="16"/>
          <w:szCs w:val="16"/>
          <w:lang w:val="it-IT"/>
        </w:rPr>
        <w:t>, Milano 2013</w:t>
      </w:r>
    </w:p>
    <w:p w:rsidR="00D220C7" w:rsidRPr="00BC7F1B" w:rsidRDefault="00D220C7" w:rsidP="00AB0CE4">
      <w:pPr>
        <w:spacing w:after="120"/>
        <w:rPr>
          <w:sz w:val="16"/>
          <w:szCs w:val="16"/>
          <w:lang w:val="it-IT"/>
        </w:rPr>
      </w:pPr>
      <w:r w:rsidRPr="00BC7F1B">
        <w:rPr>
          <w:smallCaps/>
          <w:sz w:val="16"/>
          <w:szCs w:val="16"/>
          <w:lang w:val="it-IT"/>
        </w:rPr>
        <w:t>Gaudemet</w:t>
      </w:r>
      <w:r w:rsidRPr="00BC7F1B">
        <w:rPr>
          <w:sz w:val="16"/>
          <w:szCs w:val="16"/>
          <w:lang w:val="it-IT"/>
        </w:rPr>
        <w:t xml:space="preserve">, J., </w:t>
      </w:r>
      <w:r w:rsidRPr="00BC7F1B">
        <w:rPr>
          <w:i/>
          <w:sz w:val="16"/>
          <w:szCs w:val="16"/>
          <w:lang w:val="it-IT"/>
        </w:rPr>
        <w:t>Le Bréviaire d’Alaric et les Epitomes</w:t>
      </w:r>
      <w:r w:rsidRPr="00BC7F1B">
        <w:rPr>
          <w:sz w:val="16"/>
          <w:szCs w:val="16"/>
          <w:lang w:val="it-IT"/>
        </w:rPr>
        <w:t>, in I.2.b.aa, B, Mediolani 1965</w:t>
      </w:r>
    </w:p>
    <w:p w:rsidR="00D220C7" w:rsidRPr="00B80B7A" w:rsidRDefault="00D220C7" w:rsidP="00AB0CE4">
      <w:pPr>
        <w:spacing w:after="120"/>
        <w:rPr>
          <w:sz w:val="16"/>
          <w:szCs w:val="16"/>
          <w:lang w:val="it-IT"/>
        </w:rPr>
      </w:pPr>
      <w:r w:rsidRPr="00B80B7A">
        <w:rPr>
          <w:smallCaps/>
          <w:sz w:val="16"/>
          <w:szCs w:val="16"/>
          <w:lang w:val="it-IT"/>
        </w:rPr>
        <w:t>Lambertini</w:t>
      </w:r>
      <w:r w:rsidRPr="00B80B7A">
        <w:rPr>
          <w:sz w:val="16"/>
          <w:szCs w:val="16"/>
          <w:lang w:val="it-IT"/>
        </w:rPr>
        <w:t xml:space="preserve">, R., </w:t>
      </w:r>
      <w:r w:rsidRPr="00B80B7A">
        <w:rPr>
          <w:i/>
          <w:sz w:val="16"/>
          <w:szCs w:val="16"/>
          <w:lang w:val="it-IT"/>
        </w:rPr>
        <w:t>La codificazione di Alarico II</w:t>
      </w:r>
      <w:r w:rsidRPr="00B80B7A">
        <w:rPr>
          <w:sz w:val="16"/>
          <w:szCs w:val="16"/>
          <w:lang w:val="it-IT"/>
        </w:rPr>
        <w:t>, Torino 1991</w:t>
      </w:r>
      <w:r w:rsidRPr="00B80B7A">
        <w:rPr>
          <w:sz w:val="16"/>
          <w:szCs w:val="16"/>
          <w:vertAlign w:val="superscript"/>
          <w:lang w:val="it-IT"/>
        </w:rPr>
        <w:t>2</w:t>
      </w:r>
      <w:r w:rsidRPr="00B80B7A">
        <w:rPr>
          <w:sz w:val="16"/>
          <w:szCs w:val="16"/>
          <w:lang w:val="it-IT"/>
        </w:rPr>
        <w:t>, 65-69</w:t>
      </w:r>
    </w:p>
    <w:p w:rsidR="009E2483" w:rsidRPr="00B80B7A" w:rsidRDefault="009E2483" w:rsidP="009E2483">
      <w:pPr>
        <w:spacing w:after="120"/>
        <w:rPr>
          <w:sz w:val="16"/>
          <w:szCs w:val="16"/>
          <w:lang w:val="it-IT"/>
        </w:rPr>
      </w:pPr>
      <w:r w:rsidRPr="00B80B7A">
        <w:rPr>
          <w:smallCaps/>
          <w:sz w:val="16"/>
          <w:szCs w:val="16"/>
          <w:lang w:val="de-DE"/>
        </w:rPr>
        <w:t>Liebs, D</w:t>
      </w:r>
      <w:r w:rsidRPr="00B80B7A">
        <w:rPr>
          <w:sz w:val="16"/>
          <w:szCs w:val="16"/>
          <w:lang w:val="de-DE"/>
        </w:rPr>
        <w:t xml:space="preserve">., </w:t>
      </w:r>
      <w:r w:rsidRPr="00B80B7A">
        <w:rPr>
          <w:i/>
          <w:sz w:val="16"/>
          <w:szCs w:val="16"/>
          <w:lang w:val="de-DE"/>
        </w:rPr>
        <w:t>Zur Überlieferung und Entstehung des ‚Breviarium alaricianum‘</w:t>
      </w:r>
      <w:r w:rsidRPr="00B80B7A">
        <w:rPr>
          <w:sz w:val="16"/>
          <w:szCs w:val="16"/>
          <w:lang w:val="de-DE"/>
        </w:rPr>
        <w:t xml:space="preserve">, in </w:t>
      </w:r>
      <w:r w:rsidRPr="00B80B7A">
        <w:rPr>
          <w:i/>
          <w:sz w:val="16"/>
          <w:szCs w:val="16"/>
          <w:lang w:val="de-DE"/>
        </w:rPr>
        <w:t xml:space="preserve">Atti dell’Accademia romanistica costantiniana: 14. </w:t>
      </w:r>
      <w:r w:rsidRPr="00B80B7A">
        <w:rPr>
          <w:i/>
          <w:sz w:val="16"/>
          <w:szCs w:val="16"/>
          <w:lang w:val="it-IT"/>
        </w:rPr>
        <w:t>Convegno internazionale in memoria di Guglielmo Nocera</w:t>
      </w:r>
      <w:r w:rsidRPr="00B80B7A">
        <w:rPr>
          <w:sz w:val="16"/>
          <w:szCs w:val="16"/>
          <w:lang w:val="it-IT"/>
        </w:rPr>
        <w:t>, Napoli 2003, 653-672</w:t>
      </w:r>
    </w:p>
    <w:p w:rsidR="00D220C7" w:rsidRPr="00B80B7A" w:rsidRDefault="00D220C7" w:rsidP="00AB0CE4">
      <w:pPr>
        <w:spacing w:after="120"/>
        <w:rPr>
          <w:sz w:val="16"/>
          <w:szCs w:val="16"/>
          <w:lang w:val="it-IT"/>
        </w:rPr>
      </w:pPr>
      <w:r w:rsidRPr="00B80B7A">
        <w:rPr>
          <w:smallCaps/>
          <w:sz w:val="16"/>
          <w:szCs w:val="16"/>
          <w:lang w:val="it-IT"/>
        </w:rPr>
        <w:t>Liebs</w:t>
      </w:r>
      <w:r w:rsidRPr="00B80B7A">
        <w:rPr>
          <w:sz w:val="16"/>
          <w:szCs w:val="16"/>
          <w:lang w:val="it-IT"/>
        </w:rPr>
        <w:t xml:space="preserve">, D., </w:t>
      </w:r>
      <w:r w:rsidRPr="00B80B7A">
        <w:rPr>
          <w:i/>
          <w:sz w:val="16"/>
          <w:szCs w:val="16"/>
          <w:lang w:val="it-IT"/>
        </w:rPr>
        <w:t>La diffusione del Teodosiano in Italia, Africa, Gallia e Spagna</w:t>
      </w:r>
      <w:r w:rsidRPr="00B80B7A">
        <w:rPr>
          <w:sz w:val="16"/>
          <w:szCs w:val="16"/>
          <w:lang w:val="it-IT"/>
        </w:rPr>
        <w:t xml:space="preserve">, in </w:t>
      </w:r>
      <w:r w:rsidRPr="00B80B7A">
        <w:rPr>
          <w:i/>
          <w:sz w:val="16"/>
          <w:szCs w:val="16"/>
          <w:lang w:val="it-IT"/>
        </w:rPr>
        <w:t>Ravenna Capitale.Codice Teodosiano e tradizioni giuridiche in Occidente</w:t>
      </w:r>
      <w:r w:rsidRPr="00B80B7A">
        <w:rPr>
          <w:sz w:val="16"/>
          <w:szCs w:val="16"/>
          <w:lang w:val="it-IT"/>
        </w:rPr>
        <w:t>, Santarcangelo di Romagna (RN) 2016, 1-25</w:t>
      </w:r>
    </w:p>
    <w:p w:rsidR="00D220C7" w:rsidRPr="00865C8F" w:rsidRDefault="00D220C7" w:rsidP="00AB0CE4">
      <w:pPr>
        <w:spacing w:after="120"/>
        <w:rPr>
          <w:sz w:val="16"/>
          <w:szCs w:val="16"/>
          <w:lang w:val="en-GB"/>
        </w:rPr>
      </w:pPr>
      <w:r w:rsidRPr="00865C8F">
        <w:rPr>
          <w:smallCaps/>
          <w:sz w:val="16"/>
          <w:szCs w:val="16"/>
          <w:lang w:val="en-GB"/>
        </w:rPr>
        <w:t>Matthews</w:t>
      </w:r>
      <w:r w:rsidRPr="00865C8F">
        <w:rPr>
          <w:sz w:val="16"/>
          <w:szCs w:val="16"/>
          <w:lang w:val="en-GB"/>
        </w:rPr>
        <w:t xml:space="preserve">, J. F., </w:t>
      </w:r>
      <w:r w:rsidRPr="00865C8F">
        <w:rPr>
          <w:i/>
          <w:sz w:val="16"/>
          <w:szCs w:val="16"/>
          <w:lang w:val="en-GB"/>
        </w:rPr>
        <w:t>Interpreting the Interpretationes of the Breviarium</w:t>
      </w:r>
      <w:r w:rsidRPr="00865C8F">
        <w:rPr>
          <w:sz w:val="16"/>
          <w:szCs w:val="16"/>
          <w:lang w:val="en-GB"/>
        </w:rPr>
        <w:t xml:space="preserve">, in </w:t>
      </w:r>
      <w:r w:rsidRPr="00865C8F">
        <w:rPr>
          <w:smallCaps/>
          <w:sz w:val="16"/>
          <w:szCs w:val="16"/>
          <w:lang w:val="en-GB"/>
        </w:rPr>
        <w:t>R. W. Mathisen</w:t>
      </w:r>
      <w:r w:rsidRPr="00865C8F">
        <w:rPr>
          <w:sz w:val="16"/>
          <w:szCs w:val="16"/>
          <w:lang w:val="en-GB"/>
        </w:rPr>
        <w:t xml:space="preserve">, </w:t>
      </w:r>
      <w:r w:rsidRPr="00865C8F">
        <w:rPr>
          <w:i/>
          <w:sz w:val="16"/>
          <w:szCs w:val="16"/>
          <w:lang w:val="en-GB"/>
        </w:rPr>
        <w:t>Law, Society, and Authority in Late Antiquity</w:t>
      </w:r>
      <w:r w:rsidRPr="00865C8F">
        <w:rPr>
          <w:sz w:val="16"/>
          <w:szCs w:val="16"/>
          <w:lang w:val="en-GB"/>
        </w:rPr>
        <w:t xml:space="preserve">, Oxford 2001, 11-32 </w:t>
      </w:r>
    </w:p>
    <w:p w:rsidR="008424A0" w:rsidRPr="008424A0" w:rsidRDefault="008424A0" w:rsidP="00AB0CE4">
      <w:pPr>
        <w:spacing w:after="120"/>
        <w:rPr>
          <w:sz w:val="16"/>
          <w:szCs w:val="16"/>
          <w:lang w:val="it-IT"/>
        </w:rPr>
      </w:pPr>
      <w:r w:rsidRPr="008424A0">
        <w:rPr>
          <w:smallCaps/>
          <w:sz w:val="16"/>
          <w:szCs w:val="16"/>
          <w:lang w:val="it-IT"/>
        </w:rPr>
        <w:t xml:space="preserve">Polara, </w:t>
      </w:r>
      <w:r>
        <w:rPr>
          <w:smallCaps/>
          <w:sz w:val="16"/>
          <w:szCs w:val="16"/>
          <w:lang w:val="it-IT"/>
        </w:rPr>
        <w:t xml:space="preserve">G., </w:t>
      </w:r>
      <w:r w:rsidRPr="008424A0">
        <w:rPr>
          <w:i/>
          <w:sz w:val="16"/>
          <w:szCs w:val="16"/>
          <w:lang w:val="it-IT"/>
        </w:rPr>
        <w:t>Lex Romana Visigothorum. Un contributo alla ricerca</w:t>
      </w:r>
      <w:r w:rsidRPr="008424A0">
        <w:rPr>
          <w:sz w:val="16"/>
          <w:szCs w:val="16"/>
          <w:lang w:val="it-IT"/>
        </w:rPr>
        <w:t xml:space="preserve">, </w:t>
      </w:r>
      <w:r>
        <w:rPr>
          <w:sz w:val="16"/>
          <w:szCs w:val="16"/>
          <w:lang w:val="it-IT"/>
        </w:rPr>
        <w:t>Milano 2004</w:t>
      </w:r>
      <w:r w:rsidR="00A2389C">
        <w:rPr>
          <w:sz w:val="16"/>
          <w:szCs w:val="16"/>
          <w:lang w:val="it-IT"/>
        </w:rPr>
        <w:t>, 7-15</w:t>
      </w:r>
    </w:p>
    <w:p w:rsidR="0096333E" w:rsidRPr="00B80B7A" w:rsidRDefault="0096333E" w:rsidP="00AB0CE4">
      <w:pPr>
        <w:spacing w:after="120"/>
        <w:rPr>
          <w:sz w:val="16"/>
          <w:szCs w:val="16"/>
          <w:lang w:val="en-GB"/>
        </w:rPr>
      </w:pPr>
      <w:r w:rsidRPr="00B80B7A">
        <w:rPr>
          <w:smallCaps/>
          <w:sz w:val="16"/>
          <w:szCs w:val="16"/>
          <w:lang w:val="en-GB"/>
        </w:rPr>
        <w:t>Sirks, B</w:t>
      </w:r>
      <w:r w:rsidRPr="00B80B7A">
        <w:rPr>
          <w:sz w:val="16"/>
          <w:szCs w:val="16"/>
          <w:lang w:val="en-GB"/>
        </w:rPr>
        <w:t xml:space="preserve">., </w:t>
      </w:r>
      <w:r w:rsidRPr="00B80B7A">
        <w:rPr>
          <w:i/>
          <w:sz w:val="16"/>
          <w:szCs w:val="16"/>
          <w:lang w:val="en-GB"/>
        </w:rPr>
        <w:t>The Theodosian Code. A Study</w:t>
      </w:r>
      <w:r w:rsidRPr="00B80B7A">
        <w:rPr>
          <w:sz w:val="16"/>
          <w:szCs w:val="16"/>
          <w:lang w:val="en-GB"/>
        </w:rPr>
        <w:t>, Friedrichsdorf 2007, 225-226</w:t>
      </w:r>
    </w:p>
    <w:p w:rsidR="00D220C7" w:rsidRPr="00984208" w:rsidRDefault="00D220C7" w:rsidP="00AB0CE4">
      <w:pPr>
        <w:spacing w:after="120"/>
        <w:rPr>
          <w:sz w:val="16"/>
          <w:szCs w:val="16"/>
        </w:rPr>
      </w:pPr>
    </w:p>
    <w:sectPr w:rsidR="00D220C7" w:rsidRPr="009842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CD"/>
    <w:rsid w:val="00005176"/>
    <w:rsid w:val="00011ED8"/>
    <w:rsid w:val="0002373C"/>
    <w:rsid w:val="00023B45"/>
    <w:rsid w:val="0004292A"/>
    <w:rsid w:val="00045070"/>
    <w:rsid w:val="0004695F"/>
    <w:rsid w:val="00052824"/>
    <w:rsid w:val="00055754"/>
    <w:rsid w:val="000612EB"/>
    <w:rsid w:val="000A4767"/>
    <w:rsid w:val="001351EF"/>
    <w:rsid w:val="00136E89"/>
    <w:rsid w:val="001677CB"/>
    <w:rsid w:val="00171FC5"/>
    <w:rsid w:val="001B0461"/>
    <w:rsid w:val="001C7D97"/>
    <w:rsid w:val="001D16FE"/>
    <w:rsid w:val="001D4961"/>
    <w:rsid w:val="001F7B6D"/>
    <w:rsid w:val="002230E3"/>
    <w:rsid w:val="00243924"/>
    <w:rsid w:val="00253369"/>
    <w:rsid w:val="00277201"/>
    <w:rsid w:val="00283551"/>
    <w:rsid w:val="00297893"/>
    <w:rsid w:val="002A6D87"/>
    <w:rsid w:val="002C2C90"/>
    <w:rsid w:val="002F68C9"/>
    <w:rsid w:val="00306871"/>
    <w:rsid w:val="00307152"/>
    <w:rsid w:val="00314DD9"/>
    <w:rsid w:val="00315311"/>
    <w:rsid w:val="00326297"/>
    <w:rsid w:val="0033193D"/>
    <w:rsid w:val="00366471"/>
    <w:rsid w:val="0038382B"/>
    <w:rsid w:val="003931F2"/>
    <w:rsid w:val="003A45AC"/>
    <w:rsid w:val="003B5DAB"/>
    <w:rsid w:val="003C3811"/>
    <w:rsid w:val="003C5FAA"/>
    <w:rsid w:val="003D2ECD"/>
    <w:rsid w:val="003E349D"/>
    <w:rsid w:val="003F6FB9"/>
    <w:rsid w:val="00422D02"/>
    <w:rsid w:val="0045404E"/>
    <w:rsid w:val="00467163"/>
    <w:rsid w:val="00482B71"/>
    <w:rsid w:val="004A12EC"/>
    <w:rsid w:val="004A6127"/>
    <w:rsid w:val="004B57FA"/>
    <w:rsid w:val="004D0944"/>
    <w:rsid w:val="00503B75"/>
    <w:rsid w:val="00504F33"/>
    <w:rsid w:val="00531ECB"/>
    <w:rsid w:val="00547374"/>
    <w:rsid w:val="00581299"/>
    <w:rsid w:val="00583D99"/>
    <w:rsid w:val="00586061"/>
    <w:rsid w:val="005B580C"/>
    <w:rsid w:val="005D5EF0"/>
    <w:rsid w:val="005E1C6E"/>
    <w:rsid w:val="006355DE"/>
    <w:rsid w:val="00637C8F"/>
    <w:rsid w:val="006457B5"/>
    <w:rsid w:val="00676AEE"/>
    <w:rsid w:val="006D5C07"/>
    <w:rsid w:val="006E7898"/>
    <w:rsid w:val="006F1B0D"/>
    <w:rsid w:val="00706121"/>
    <w:rsid w:val="007233AD"/>
    <w:rsid w:val="00724666"/>
    <w:rsid w:val="00730CF2"/>
    <w:rsid w:val="007343B6"/>
    <w:rsid w:val="00743BEE"/>
    <w:rsid w:val="00760E2D"/>
    <w:rsid w:val="00773102"/>
    <w:rsid w:val="007773B3"/>
    <w:rsid w:val="007A4494"/>
    <w:rsid w:val="007A7F4E"/>
    <w:rsid w:val="007C7622"/>
    <w:rsid w:val="007F79AC"/>
    <w:rsid w:val="00825EFC"/>
    <w:rsid w:val="008424A0"/>
    <w:rsid w:val="00854FA9"/>
    <w:rsid w:val="00865C8F"/>
    <w:rsid w:val="00870BCD"/>
    <w:rsid w:val="008F0065"/>
    <w:rsid w:val="009061CC"/>
    <w:rsid w:val="00914C42"/>
    <w:rsid w:val="00920E8B"/>
    <w:rsid w:val="00941D0E"/>
    <w:rsid w:val="0095056A"/>
    <w:rsid w:val="00954464"/>
    <w:rsid w:val="0096333E"/>
    <w:rsid w:val="00975D5C"/>
    <w:rsid w:val="00984208"/>
    <w:rsid w:val="00996104"/>
    <w:rsid w:val="009B0C22"/>
    <w:rsid w:val="009B5ABF"/>
    <w:rsid w:val="009C774D"/>
    <w:rsid w:val="009E2483"/>
    <w:rsid w:val="009F0C58"/>
    <w:rsid w:val="00A133A9"/>
    <w:rsid w:val="00A2389C"/>
    <w:rsid w:val="00A3418A"/>
    <w:rsid w:val="00A8281F"/>
    <w:rsid w:val="00A86FA9"/>
    <w:rsid w:val="00A95913"/>
    <w:rsid w:val="00AA49DA"/>
    <w:rsid w:val="00AA6850"/>
    <w:rsid w:val="00AB0CE4"/>
    <w:rsid w:val="00AD1F98"/>
    <w:rsid w:val="00B11AA6"/>
    <w:rsid w:val="00B35E0A"/>
    <w:rsid w:val="00B719E1"/>
    <w:rsid w:val="00B77E84"/>
    <w:rsid w:val="00B80B7A"/>
    <w:rsid w:val="00B92C04"/>
    <w:rsid w:val="00BC7F1B"/>
    <w:rsid w:val="00C250CA"/>
    <w:rsid w:val="00C44240"/>
    <w:rsid w:val="00C477E8"/>
    <w:rsid w:val="00C551A6"/>
    <w:rsid w:val="00C602E3"/>
    <w:rsid w:val="00CE45B1"/>
    <w:rsid w:val="00D220C7"/>
    <w:rsid w:val="00D228B3"/>
    <w:rsid w:val="00D32270"/>
    <w:rsid w:val="00D5460C"/>
    <w:rsid w:val="00D56C40"/>
    <w:rsid w:val="00D7520C"/>
    <w:rsid w:val="00D8090D"/>
    <w:rsid w:val="00D832B0"/>
    <w:rsid w:val="00D83E4A"/>
    <w:rsid w:val="00D9018C"/>
    <w:rsid w:val="00D94F02"/>
    <w:rsid w:val="00DD281D"/>
    <w:rsid w:val="00E03238"/>
    <w:rsid w:val="00E156DF"/>
    <w:rsid w:val="00E42B80"/>
    <w:rsid w:val="00E70F3E"/>
    <w:rsid w:val="00E83AEA"/>
    <w:rsid w:val="00E85B1C"/>
    <w:rsid w:val="00EA3FEE"/>
    <w:rsid w:val="00ED6E62"/>
    <w:rsid w:val="00EE7789"/>
    <w:rsid w:val="00F003DA"/>
    <w:rsid w:val="00F10A99"/>
    <w:rsid w:val="00F27CE5"/>
    <w:rsid w:val="00F556A2"/>
    <w:rsid w:val="00FB4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F8E6B-9004-4879-9114-4A5E66FD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2824"/>
    <w:pPr>
      <w:spacing w:after="0" w:line="240" w:lineRule="auto"/>
      <w:jc w:val="both"/>
    </w:pPr>
    <w:rPr>
      <w:rFonts w:ascii="Times New Roman" w:hAnsi="Times New Roman"/>
      <w:noProof/>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uiPriority w:val="99"/>
    <w:unhideWhenUsed/>
    <w:rsid w:val="00920E8B"/>
    <w:pPr>
      <w:tabs>
        <w:tab w:val="center" w:pos="4819"/>
        <w:tab w:val="right" w:pos="9638"/>
      </w:tabs>
    </w:pPr>
    <w:rPr>
      <w:sz w:val="18"/>
    </w:rPr>
  </w:style>
  <w:style w:type="character" w:customStyle="1" w:styleId="PidipaginaCarattere">
    <w:name w:val="Piè di pagina Carattere"/>
    <w:basedOn w:val="Carpredefinitoparagrafo"/>
    <w:link w:val="Pidipagina"/>
    <w:uiPriority w:val="99"/>
    <w:rsid w:val="00920E8B"/>
    <w:rPr>
      <w:rFonts w:ascii="Times New Roman" w:hAnsi="Times New Roman"/>
      <w:noProof/>
      <w:sz w:val="18"/>
      <w:lang w:val="fr-FR"/>
    </w:rPr>
  </w:style>
  <w:style w:type="character" w:styleId="Collegamentoipertestuale">
    <w:name w:val="Hyperlink"/>
    <w:basedOn w:val="Carpredefinitoparagrafo"/>
    <w:uiPriority w:val="99"/>
    <w:unhideWhenUsed/>
    <w:rsid w:val="00EA3FEE"/>
    <w:rPr>
      <w:color w:val="0563C1" w:themeColor="hyperlink"/>
      <w:u w:val="single"/>
    </w:rPr>
  </w:style>
  <w:style w:type="character" w:styleId="Collegamentovisitato">
    <w:name w:val="FollowedHyperlink"/>
    <w:basedOn w:val="Carpredefinitoparagrafo"/>
    <w:uiPriority w:val="99"/>
    <w:semiHidden/>
    <w:unhideWhenUsed/>
    <w:rsid w:val="0096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acplus.bsb-muenchen.de/Vta2/bsb11042996/bsb:3150497?page=9" TargetMode="External"/><Relationship Id="rId5" Type="http://schemas.openxmlformats.org/officeDocument/2006/relationships/hyperlink" Target="https://books.google.it/books?id=4V1EAAAAcAAJ&amp;printsec=frontcover&amp;dq=lex+romana+visigothorum+haenel&amp;hl=it&amp;sa=X&amp;ved=0ahUKEwju0unWnsTYAhUBCsAKHRQJC1gQ6AEIKjAA" TargetMode="External"/><Relationship Id="rId4" Type="http://schemas.openxmlformats.org/officeDocument/2006/relationships/hyperlink" Target="https://books.google.it/books?id=xG8ohm4qPbIC&amp;printsec=frontcover&amp;h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cp:keywords/>
  <dc:description/>
  <cp:lastModifiedBy>Federico</cp:lastModifiedBy>
  <cp:revision>2</cp:revision>
  <cp:lastPrinted>2018-01-06T21:22:00Z</cp:lastPrinted>
  <dcterms:created xsi:type="dcterms:W3CDTF">2018-01-06T22:51:00Z</dcterms:created>
  <dcterms:modified xsi:type="dcterms:W3CDTF">2018-01-06T22:51:00Z</dcterms:modified>
</cp:coreProperties>
</file>